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EC" w:rsidRDefault="001A64AD">
      <w:pPr>
        <w:widowControl/>
        <w:spacing w:line="720" w:lineRule="auto"/>
        <w:jc w:val="center"/>
        <w:rPr>
          <w:rFonts w:hAnsi="宋体"/>
          <w:b/>
          <w:bCs/>
          <w:color w:val="000000"/>
          <w:kern w:val="0"/>
          <w:sz w:val="36"/>
          <w:szCs w:val="36"/>
        </w:rPr>
      </w:pPr>
      <w:r>
        <w:rPr>
          <w:rFonts w:hAnsi="宋体" w:hint="eastAsia"/>
          <w:b/>
          <w:bCs/>
          <w:color w:val="000000"/>
          <w:kern w:val="0"/>
          <w:sz w:val="36"/>
          <w:szCs w:val="36"/>
        </w:rPr>
        <w:t>有源医疗器械</w:t>
      </w:r>
      <w:r>
        <w:rPr>
          <w:rFonts w:hAnsi="宋体"/>
          <w:b/>
          <w:bCs/>
          <w:color w:val="000000"/>
          <w:kern w:val="0"/>
          <w:sz w:val="36"/>
          <w:szCs w:val="36"/>
        </w:rPr>
        <w:t>产品送检资料清单</w:t>
      </w:r>
      <w:r>
        <w:rPr>
          <w:rFonts w:hAnsi="宋体" w:hint="eastAsia"/>
          <w:b/>
          <w:bCs/>
          <w:color w:val="000000"/>
          <w:kern w:val="0"/>
          <w:sz w:val="36"/>
          <w:szCs w:val="36"/>
        </w:rPr>
        <w:t>(G</w:t>
      </w:r>
      <w:r>
        <w:rPr>
          <w:rFonts w:hAnsi="宋体"/>
          <w:b/>
          <w:bCs/>
          <w:color w:val="000000"/>
          <w:kern w:val="0"/>
          <w:sz w:val="36"/>
          <w:szCs w:val="36"/>
        </w:rPr>
        <w:t>B9706.1-2020</w:t>
      </w:r>
      <w:r>
        <w:rPr>
          <w:rFonts w:hAnsi="宋体" w:hint="eastAsia"/>
          <w:b/>
          <w:bCs/>
          <w:color w:val="000000"/>
          <w:kern w:val="0"/>
          <w:sz w:val="36"/>
          <w:szCs w:val="36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419"/>
        <w:gridCol w:w="4230"/>
        <w:gridCol w:w="1558"/>
      </w:tblGrid>
      <w:tr w:rsidR="009F6CEC" w:rsidTr="009E5BE7">
        <w:trPr>
          <w:trHeight w:val="397"/>
          <w:tblHeader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9F6CEC" w:rsidRDefault="001A64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19" w:type="dxa"/>
            <w:shd w:val="clear" w:color="auto" w:fill="F2F2F2" w:themeFill="background1" w:themeFillShade="F2"/>
            <w:vAlign w:val="center"/>
          </w:tcPr>
          <w:p w:rsidR="009F6CEC" w:rsidRDefault="001A64A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资料名称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9F6CEC" w:rsidRDefault="001A64A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有关要求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9F6CEC" w:rsidRDefault="001A64A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是否齐备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/>
                <w:szCs w:val="21"/>
              </w:rPr>
              <w:t>技术要求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送检时需提供一份，出检验</w:t>
            </w:r>
            <w:r>
              <w:rPr>
                <w:rFonts w:ascii="宋体" w:hAnsi="宋体"/>
                <w:szCs w:val="21"/>
              </w:rPr>
              <w:t>报告前提供</w:t>
            </w:r>
            <w:r>
              <w:rPr>
                <w:rFonts w:ascii="宋体" w:hAnsi="宋体" w:hint="eastAsia"/>
                <w:szCs w:val="21"/>
              </w:rPr>
              <w:t>技术</w:t>
            </w:r>
            <w:proofErr w:type="gramStart"/>
            <w:r>
              <w:rPr>
                <w:rFonts w:ascii="宋体" w:hAnsi="宋体" w:hint="eastAsia"/>
                <w:szCs w:val="21"/>
              </w:rPr>
              <w:t>要</w:t>
            </w:r>
            <w:r>
              <w:rPr>
                <w:rFonts w:ascii="宋体" w:hAnsi="宋体"/>
                <w:szCs w:val="21"/>
              </w:rPr>
              <w:t>求</w:t>
            </w:r>
            <w:r>
              <w:rPr>
                <w:rFonts w:ascii="宋体" w:hAnsi="宋体" w:hint="eastAsia"/>
                <w:szCs w:val="21"/>
              </w:rPr>
              <w:t>终版</w:t>
            </w:r>
            <w:r>
              <w:rPr>
                <w:rFonts w:ascii="宋体" w:hAnsi="宋体"/>
                <w:szCs w:val="21"/>
              </w:rPr>
              <w:t>一式</w:t>
            </w:r>
            <w:proofErr w:type="gramEnd"/>
            <w:r>
              <w:rPr>
                <w:rFonts w:ascii="宋体" w:hAnsi="宋体"/>
                <w:szCs w:val="21"/>
              </w:rPr>
              <w:t>三份。</w:t>
            </w:r>
          </w:p>
          <w:p w:rsidR="009F6CEC" w:rsidRDefault="001A64AD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请参照医疗器械产品技术要求编写指导原则</w:t>
            </w:r>
            <w:r>
              <w:rPr>
                <w:rFonts w:ascii="宋体" w:hAnsi="宋体"/>
                <w:szCs w:val="21"/>
              </w:rPr>
              <w:t>要求编写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随附文件[使用</w:t>
            </w:r>
            <w:r>
              <w:rPr>
                <w:rFonts w:ascii="宋体" w:hAnsi="宋体"/>
                <w:szCs w:val="21"/>
              </w:rPr>
              <w:t>说明书、技术说明书（</w:t>
            </w:r>
            <w:r>
              <w:rPr>
                <w:rFonts w:ascii="宋体" w:hAnsi="宋体" w:hint="eastAsia"/>
                <w:szCs w:val="21"/>
              </w:rPr>
              <w:t>若有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]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1份，</w:t>
            </w:r>
            <w:r>
              <w:rPr>
                <w:rFonts w:ascii="宋体" w:hAnsi="宋体"/>
                <w:szCs w:val="21"/>
              </w:rPr>
              <w:t>需包含</w:t>
            </w:r>
            <w:r>
              <w:rPr>
                <w:rFonts w:ascii="宋体" w:hAnsi="宋体" w:hint="eastAsia"/>
                <w:szCs w:val="21"/>
              </w:rPr>
              <w:t>“随附文件</w:t>
            </w:r>
            <w:r>
              <w:rPr>
                <w:rFonts w:ascii="宋体" w:hAnsi="宋体"/>
                <w:szCs w:val="21"/>
              </w:rPr>
              <w:t>自查表</w:t>
            </w:r>
            <w:r>
              <w:rPr>
                <w:rFonts w:ascii="宋体" w:hAnsi="宋体" w:hint="eastAsia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适用</w:t>
            </w:r>
            <w:r>
              <w:rPr>
                <w:rFonts w:ascii="宋体" w:hAnsi="宋体"/>
                <w:szCs w:val="21"/>
              </w:rPr>
              <w:t>的内容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随附文件</w:t>
            </w:r>
            <w:r>
              <w:rPr>
                <w:rFonts w:ascii="宋体" w:hAnsi="宋体"/>
                <w:szCs w:val="21"/>
              </w:rPr>
              <w:t>自查表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1份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见附件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若检验依据包含其他标准(如专用标准、并列标准)有规定时，自</w:t>
            </w:r>
            <w:proofErr w:type="gramStart"/>
            <w:r>
              <w:rPr>
                <w:rFonts w:ascii="宋体" w:hAnsi="宋体" w:hint="eastAsia"/>
                <w:szCs w:val="21"/>
              </w:rPr>
              <w:t>查表需</w:t>
            </w:r>
            <w:proofErr w:type="gramEnd"/>
            <w:r>
              <w:rPr>
                <w:rFonts w:ascii="宋体" w:hAnsi="宋体" w:hint="eastAsia"/>
                <w:szCs w:val="21"/>
              </w:rPr>
              <w:t>增加对应的内容。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Merge w:val="restart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Merge w:val="restart"/>
            <w:vAlign w:val="center"/>
          </w:tcPr>
          <w:p w:rsidR="009F6CEC" w:rsidRDefault="001A64AD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主机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主检型号</w:t>
            </w:r>
            <w:r>
              <w:rPr>
                <w:rFonts w:ascii="宋体" w:hAnsi="宋体" w:hint="eastAsia"/>
                <w:szCs w:val="21"/>
              </w:rPr>
              <w:t>：1台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Merge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Merge/>
            <w:vAlign w:val="center"/>
          </w:tcPr>
          <w:p w:rsidR="009F6CEC" w:rsidRDefault="009F6C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差异型号</w:t>
            </w:r>
            <w:r>
              <w:rPr>
                <w:rFonts w:ascii="宋体" w:hAnsi="宋体" w:hint="eastAsia"/>
                <w:szCs w:val="21"/>
              </w:rPr>
              <w:t>：1台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</w:rPr>
              <w:t>医疗器械产品型号差异性</w:t>
            </w:r>
            <w:r>
              <w:rPr>
                <w:rFonts w:ascii="宋体" w:hAnsi="宋体" w:hint="eastAsia"/>
                <w:szCs w:val="21"/>
              </w:rPr>
              <w:t>检验申请</w:t>
            </w:r>
            <w:r>
              <w:rPr>
                <w:rFonts w:ascii="宋体" w:hAnsi="宋体"/>
                <w:szCs w:val="21"/>
              </w:rPr>
              <w:t>（有源</w:t>
            </w:r>
            <w:r>
              <w:rPr>
                <w:rFonts w:ascii="宋体" w:hAnsi="宋体" w:hint="eastAsia"/>
                <w:szCs w:val="21"/>
              </w:rPr>
              <w:t>安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1份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</w:rPr>
              <w:t>产品使用</w:t>
            </w:r>
            <w:r>
              <w:rPr>
                <w:rFonts w:ascii="宋体" w:hAnsi="宋体" w:hint="eastAsia"/>
                <w:szCs w:val="21"/>
              </w:rPr>
              <w:t>配套</w:t>
            </w:r>
            <w:r>
              <w:rPr>
                <w:rFonts w:ascii="宋体" w:hAnsi="宋体"/>
                <w:szCs w:val="21"/>
              </w:rPr>
              <w:t>部件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如探头、软件、工装等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各1套（若有）</w:t>
            </w:r>
          </w:p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a)软件是</w:t>
            </w:r>
            <w:proofErr w:type="gramStart"/>
            <w:r>
              <w:rPr>
                <w:rFonts w:ascii="宋体" w:hAnsi="宋体" w:hint="eastAsia"/>
                <w:szCs w:val="21"/>
              </w:rPr>
              <w:t>指确保</w:t>
            </w:r>
            <w:proofErr w:type="gramEnd"/>
            <w:r>
              <w:rPr>
                <w:rFonts w:ascii="宋体" w:hAnsi="宋体" w:hint="eastAsia"/>
                <w:szCs w:val="21"/>
              </w:rPr>
              <w:t>样机以自动运行方式达到典型工作状态的专用应用程序；</w:t>
            </w:r>
          </w:p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b)工装是指模拟正常工作状态所需的试验装置，其介入不应引入额外的干扰源；</w:t>
            </w:r>
          </w:p>
          <w:p w:rsidR="009F6CEC" w:rsidRDefault="001A64AD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c)样机需在正常工作状态下测试，与正常工作相关的附件、试剂均需提供。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依据GB9706.1</w:t>
            </w:r>
            <w:r>
              <w:rPr>
                <w:rFonts w:ascii="宋体" w:hAnsi="宋体"/>
                <w:szCs w:val="21"/>
              </w:rPr>
              <w:t>-2020</w:t>
            </w:r>
            <w:r>
              <w:rPr>
                <w:rFonts w:ascii="宋体" w:hAnsi="宋体" w:hint="eastAsia"/>
                <w:szCs w:val="21"/>
              </w:rPr>
              <w:t>要求绘制的绝缘图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1份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产品原理图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1份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产品电路图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1份，电源部分和应用部分应有详细的图纸。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外包装</w:t>
            </w:r>
            <w:r>
              <w:rPr>
                <w:rFonts w:ascii="宋体" w:hAnsi="宋体"/>
                <w:szCs w:val="21"/>
              </w:rPr>
              <w:t>图纸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1份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包含</w:t>
            </w:r>
            <w:r>
              <w:rPr>
                <w:rFonts w:ascii="宋体" w:hAnsi="宋体" w:hint="eastAsia"/>
              </w:rPr>
              <w:t>运输，贮存条件等，</w:t>
            </w:r>
            <w:r>
              <w:rPr>
                <w:rFonts w:ascii="宋体" w:hAnsi="宋体"/>
              </w:rPr>
              <w:t>应与随附文件中内容</w:t>
            </w:r>
            <w:r>
              <w:rPr>
                <w:rFonts w:ascii="宋体" w:hAnsi="宋体" w:hint="eastAsia"/>
              </w:rPr>
              <w:t>一致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关键元器件清单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按</w:t>
            </w:r>
            <w:r>
              <w:rPr>
                <w:szCs w:val="21"/>
              </w:rPr>
              <w:t>附</w:t>
            </w:r>
            <w:r>
              <w:rPr>
                <w:rFonts w:hint="eastAsia"/>
                <w:szCs w:val="21"/>
              </w:rPr>
              <w:t>件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要求</w:t>
            </w:r>
            <w:r>
              <w:rPr>
                <w:szCs w:val="21"/>
              </w:rPr>
              <w:t>填写</w:t>
            </w:r>
            <w:r>
              <w:rPr>
                <w:rFonts w:hint="eastAsia"/>
                <w:szCs w:val="21"/>
              </w:rPr>
              <w:t>并</w:t>
            </w:r>
            <w:r>
              <w:rPr>
                <w:szCs w:val="21"/>
              </w:rPr>
              <w:t>提供相应证明资料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设备预期使用的海拔高度、过压类别和污染等级的说明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默认情形：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海拔高度不大于或等于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000m</w:t>
            </w:r>
            <w:r>
              <w:rPr>
                <w:szCs w:val="21"/>
              </w:rPr>
              <w:t>；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过压类别</w:t>
            </w:r>
            <w:r>
              <w:rPr>
                <w:szCs w:val="21"/>
              </w:rPr>
              <w:t>II</w:t>
            </w:r>
            <w:r>
              <w:rPr>
                <w:rFonts w:hint="eastAsia"/>
                <w:szCs w:val="21"/>
              </w:rPr>
              <w:t>类；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污染等级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级。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默认情形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材料组分类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相比漏电起痕指数（</w:t>
            </w:r>
            <w:r>
              <w:rPr>
                <w:rFonts w:hint="eastAsia"/>
                <w:szCs w:val="21"/>
              </w:rPr>
              <w:t>CTI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I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 xml:space="preserve">CTI </w:t>
            </w:r>
            <w:r>
              <w:rPr>
                <w:rFonts w:hint="eastAsia"/>
                <w:szCs w:val="21"/>
              </w:rPr>
              <w:t>；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II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CTI</w:t>
            </w: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F6CEC" w:rsidRDefault="001A64AD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IIIa</w:t>
            </w:r>
            <w:proofErr w:type="spell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175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CTI</w:t>
            </w: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；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szCs w:val="21"/>
              </w:rPr>
              <w:t>如无相关证明文件，按</w:t>
            </w:r>
            <w:proofErr w:type="spellStart"/>
            <w:r>
              <w:rPr>
                <w:rFonts w:hint="eastAsia"/>
                <w:szCs w:val="21"/>
              </w:rPr>
              <w:t>IIIb</w:t>
            </w:r>
            <w:proofErr w:type="spellEnd"/>
            <w:r>
              <w:rPr>
                <w:rFonts w:hint="eastAsia"/>
                <w:szCs w:val="21"/>
              </w:rPr>
              <w:t>考核。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  <w:p w:rsidR="009F6CEC" w:rsidRDefault="001A64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□</w:t>
            </w:r>
            <w:r>
              <w:rPr>
                <w:szCs w:val="21"/>
              </w:rPr>
              <w:t>按</w:t>
            </w:r>
            <w:proofErr w:type="spellStart"/>
            <w:r>
              <w:rPr>
                <w:rFonts w:hint="eastAsia"/>
                <w:szCs w:val="21"/>
              </w:rPr>
              <w:t>IIIb</w:t>
            </w:r>
            <w:proofErr w:type="spellEnd"/>
            <w:r>
              <w:rPr>
                <w:rFonts w:hint="eastAsia"/>
                <w:szCs w:val="21"/>
              </w:rPr>
              <w:t>考核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风险管理文档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提供“风险管理文档自查表”引用的风险管理文档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风险管理文档自查表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见</w:t>
            </w:r>
            <w:r>
              <w:rPr>
                <w:szCs w:val="21"/>
              </w:rPr>
              <w:t>附件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。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szCs w:val="21"/>
              </w:rPr>
              <w:t>：若检验依据包含其他标准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如专用标准、并列标准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有规定时</w:t>
            </w:r>
            <w:r>
              <w:rPr>
                <w:szCs w:val="21"/>
              </w:rPr>
              <w:t>，自</w:t>
            </w:r>
            <w:proofErr w:type="gramStart"/>
            <w:r>
              <w:rPr>
                <w:szCs w:val="21"/>
              </w:rPr>
              <w:t>查表需</w:t>
            </w:r>
            <w:proofErr w:type="gramEnd"/>
            <w:r>
              <w:rPr>
                <w:szCs w:val="21"/>
              </w:rPr>
              <w:t>增加对应的内容。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r>
              <w:rPr>
                <w:rFonts w:hint="eastAsia"/>
              </w:rPr>
              <w:t>可用性</w:t>
            </w:r>
            <w:r>
              <w:t>工程文档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提供“可用性</w:t>
            </w:r>
            <w:r>
              <w:rPr>
                <w:color w:val="000000" w:themeColor="text1"/>
                <w:szCs w:val="21"/>
              </w:rPr>
              <w:t>文档自查表</w:t>
            </w:r>
            <w:r>
              <w:rPr>
                <w:rFonts w:hint="eastAsia"/>
                <w:color w:val="000000" w:themeColor="text1"/>
                <w:szCs w:val="21"/>
              </w:rPr>
              <w:t>”引用的风险管理文档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套。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  <w:p w:rsidR="009F6CEC" w:rsidRDefault="001A64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szCs w:val="21"/>
              </w:rPr>
              <w:t>不委托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可用性</w:t>
            </w:r>
            <w:r>
              <w:rPr>
                <w:szCs w:val="21"/>
              </w:rPr>
              <w:t>文档自查表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>，见附件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  <w:p w:rsidR="009F6CEC" w:rsidRDefault="001A64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szCs w:val="21"/>
              </w:rPr>
              <w:t>不委托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电源变压器：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个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未浸漆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和</w:t>
            </w:r>
            <w:r>
              <w:rPr>
                <w:rFonts w:hint="eastAsia"/>
                <w:color w:val="000000" w:themeColor="text1"/>
                <w:szCs w:val="21"/>
              </w:rPr>
              <w:t>N+1</w:t>
            </w:r>
            <w:r>
              <w:rPr>
                <w:rFonts w:hint="eastAsia"/>
                <w:color w:val="000000" w:themeColor="text1"/>
                <w:szCs w:val="21"/>
              </w:rPr>
              <w:t>个正常变压器（浸漆）（</w:t>
            </w:r>
            <w:r>
              <w:rPr>
                <w:rFonts w:hint="eastAsia"/>
                <w:color w:val="000000" w:themeColor="text1"/>
                <w:szCs w:val="21"/>
              </w:rPr>
              <w:t>N</w:t>
            </w:r>
            <w:r>
              <w:rPr>
                <w:rFonts w:hint="eastAsia"/>
                <w:color w:val="000000" w:themeColor="text1"/>
                <w:szCs w:val="21"/>
              </w:rPr>
              <w:t>为绕组数量）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pStyle w:val="a8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开关</w:t>
            </w:r>
            <w:r>
              <w:rPr>
                <w:rFonts w:ascii="宋体" w:hAnsi="宋体"/>
                <w:szCs w:val="21"/>
              </w:rPr>
              <w:t>电源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每种规格型号的开关电源（若有）提供2个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pStyle w:val="a8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电源软电线（含插头）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1根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pStyle w:val="a8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按制造商规定的方式灭菌后的设备或部件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2套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pStyle w:val="a8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脚踏开关（若适用）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电机或风扇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每种规格型号的电机或风扇至少各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电路板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电源部分和应用部分的电路板（含元器件）</w:t>
            </w:r>
            <w:proofErr w:type="gramStart"/>
            <w:r>
              <w:rPr>
                <w:rFonts w:hint="eastAsia"/>
                <w:szCs w:val="21"/>
              </w:rPr>
              <w:t>各准备</w:t>
            </w:r>
            <w:proofErr w:type="gramEnd"/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~2</w:t>
            </w:r>
            <w:r>
              <w:rPr>
                <w:rFonts w:hint="eastAsia"/>
                <w:szCs w:val="21"/>
              </w:rPr>
              <w:t>块，电源部分和应用部分各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块空白印刷板。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Pr="00E12660" w:rsidRDefault="001A64AD">
            <w:pPr>
              <w:rPr>
                <w:szCs w:val="21"/>
              </w:rPr>
            </w:pPr>
            <w:r w:rsidRPr="00E12660">
              <w:rPr>
                <w:rFonts w:hint="eastAsia"/>
                <w:szCs w:val="21"/>
              </w:rPr>
              <w:t>电源插座至保险丝座之间的电线</w:t>
            </w:r>
          </w:p>
        </w:tc>
        <w:tc>
          <w:tcPr>
            <w:tcW w:w="4230" w:type="dxa"/>
            <w:vAlign w:val="center"/>
          </w:tcPr>
          <w:p w:rsidR="009F6CEC" w:rsidRPr="00E12660" w:rsidRDefault="001A64AD">
            <w:pPr>
              <w:rPr>
                <w:szCs w:val="21"/>
              </w:rPr>
            </w:pPr>
            <w:r w:rsidRPr="00E12660">
              <w:rPr>
                <w:rFonts w:hint="eastAsia"/>
                <w:szCs w:val="21"/>
              </w:rPr>
              <w:t>0.5</w:t>
            </w:r>
            <w:r w:rsidRPr="00E12660">
              <w:rPr>
                <w:szCs w:val="21"/>
              </w:rPr>
              <w:t>m</w:t>
            </w:r>
          </w:p>
        </w:tc>
        <w:tc>
          <w:tcPr>
            <w:tcW w:w="1558" w:type="dxa"/>
            <w:vAlign w:val="center"/>
          </w:tcPr>
          <w:p w:rsidR="009F6CEC" w:rsidRPr="00E12660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 w:rsidRPr="00E12660"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Pr="00E12660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 w:rsidRPr="00E12660"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 w:rsidRPr="00E12660"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保险丝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每种规格保险丝至少各5个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塑料外壳的</w:t>
            </w:r>
            <w:proofErr w:type="gramStart"/>
            <w:r>
              <w:rPr>
                <w:rFonts w:ascii="宋体" w:hAnsi="宋体"/>
                <w:szCs w:val="21"/>
              </w:rPr>
              <w:t>材料</w:t>
            </w:r>
            <w:r>
              <w:rPr>
                <w:rFonts w:ascii="宋体" w:hAnsi="宋体" w:hint="eastAsia"/>
                <w:szCs w:val="21"/>
              </w:rPr>
              <w:t>样块</w:t>
            </w:r>
            <w:proofErr w:type="gramEnd"/>
            <w:r>
              <w:rPr>
                <w:rFonts w:ascii="宋体" w:hAnsi="宋体" w:hint="eastAsia"/>
                <w:szCs w:val="21"/>
              </w:rPr>
              <w:t>(GB 9706.1-2020条款</w:t>
            </w:r>
            <w:r>
              <w:rPr>
                <w:rFonts w:ascii="宋体" w:hAnsi="宋体"/>
                <w:szCs w:val="21"/>
              </w:rPr>
              <w:t>8.8.4)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块，尺寸</w:t>
            </w:r>
            <w:r>
              <w:rPr>
                <w:szCs w:val="21"/>
              </w:rPr>
              <w:t>5c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×5cm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Pr="00E12660" w:rsidRDefault="001A64AD">
            <w:pPr>
              <w:pStyle w:val="Default"/>
              <w:jc w:val="both"/>
              <w:rPr>
                <w:szCs w:val="21"/>
              </w:rPr>
            </w:pPr>
            <w:r w:rsidRPr="00E12660">
              <w:rPr>
                <w:rFonts w:hint="eastAsia"/>
                <w:sz w:val="21"/>
                <w:szCs w:val="21"/>
              </w:rPr>
              <w:t>用于支撑未绝缘的网电源部件的绝</w:t>
            </w:r>
            <w:proofErr w:type="gramStart"/>
            <w:r w:rsidRPr="00E12660">
              <w:rPr>
                <w:rFonts w:hint="eastAsia"/>
                <w:sz w:val="21"/>
                <w:szCs w:val="21"/>
              </w:rPr>
              <w:t>源材料</w:t>
            </w:r>
            <w:proofErr w:type="gramEnd"/>
          </w:p>
        </w:tc>
        <w:tc>
          <w:tcPr>
            <w:tcW w:w="4230" w:type="dxa"/>
            <w:vAlign w:val="center"/>
          </w:tcPr>
          <w:p w:rsidR="009F6CEC" w:rsidRPr="00E12660" w:rsidRDefault="001A64AD">
            <w:pPr>
              <w:rPr>
                <w:szCs w:val="21"/>
              </w:rPr>
            </w:pPr>
            <w:r w:rsidRPr="00E12660">
              <w:rPr>
                <w:rFonts w:hint="eastAsia"/>
                <w:szCs w:val="21"/>
              </w:rPr>
              <w:t>1</w:t>
            </w:r>
            <w:r w:rsidRPr="00E12660">
              <w:rPr>
                <w:rFonts w:hint="eastAsia"/>
                <w:szCs w:val="21"/>
              </w:rPr>
              <w:t>块</w:t>
            </w:r>
            <w:r w:rsidRPr="00E12660">
              <w:rPr>
                <w:szCs w:val="21"/>
              </w:rPr>
              <w:t>，</w:t>
            </w:r>
            <w:r w:rsidRPr="00E12660">
              <w:rPr>
                <w:rFonts w:hint="eastAsia"/>
                <w:szCs w:val="21"/>
              </w:rPr>
              <w:t>尺寸</w:t>
            </w:r>
            <w:r w:rsidRPr="00E12660">
              <w:rPr>
                <w:szCs w:val="21"/>
              </w:rPr>
              <w:t>5c</w:t>
            </w:r>
            <w:r w:rsidRPr="00E12660">
              <w:rPr>
                <w:rFonts w:hint="eastAsia"/>
                <w:szCs w:val="21"/>
              </w:rPr>
              <w:t>m</w:t>
            </w:r>
            <w:r w:rsidRPr="00E12660">
              <w:rPr>
                <w:szCs w:val="21"/>
              </w:rPr>
              <w:t>×5cm</w:t>
            </w: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 9706.1-2020条款8.9.3.2要求的样品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若适用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和8.9.3.3要求的样品（若适用）。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8.9.3.2要求的样品1个</w:t>
            </w:r>
          </w:p>
          <w:p w:rsidR="009F6CEC" w:rsidRDefault="001A6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8.9.3.3要求的样品3个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根据标准要求进行至少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天的热循环测试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高完善</w:t>
            </w:r>
            <w:proofErr w:type="gramEnd"/>
            <w:r>
              <w:rPr>
                <w:rFonts w:hint="eastAsia"/>
                <w:szCs w:val="21"/>
              </w:rPr>
              <w:t>性元器件证明性资料（若</w:t>
            </w:r>
            <w:r>
              <w:rPr>
                <w:szCs w:val="21"/>
              </w:rPr>
              <w:t>适用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份，提供国家、行业、</w:t>
            </w:r>
            <w:r>
              <w:rPr>
                <w:rFonts w:hint="eastAsia"/>
                <w:szCs w:val="21"/>
              </w:rPr>
              <w:t>IEC</w:t>
            </w:r>
            <w:r>
              <w:rPr>
                <w:rFonts w:hint="eastAsia"/>
                <w:szCs w:val="21"/>
              </w:rPr>
              <w:t>元器件标准认可的相关证书或其他证据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9F6CEC">
        <w:trPr>
          <w:trHeight w:val="397"/>
          <w:jc w:val="center"/>
        </w:trPr>
        <w:tc>
          <w:tcPr>
            <w:tcW w:w="427" w:type="dxa"/>
            <w:vAlign w:val="center"/>
          </w:tcPr>
          <w:p w:rsidR="009F6CEC" w:rsidRDefault="009F6CEC">
            <w:pPr>
              <w:pStyle w:val="a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</w:p>
        </w:tc>
        <w:tc>
          <w:tcPr>
            <w:tcW w:w="3419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次级电路封装材料、次级</w:t>
            </w:r>
            <w:r>
              <w:rPr>
                <w:szCs w:val="21"/>
              </w:rPr>
              <w:t>电路的电线绝缘类型</w:t>
            </w:r>
            <w:r>
              <w:rPr>
                <w:rFonts w:hint="eastAsia"/>
                <w:szCs w:val="21"/>
              </w:rPr>
              <w:t>证明资料（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B 9706.1-2020</w:t>
            </w:r>
            <w:r>
              <w:rPr>
                <w:szCs w:val="21"/>
              </w:rPr>
              <w:t>条款</w:t>
            </w:r>
            <w:r>
              <w:rPr>
                <w:rFonts w:hint="eastAsia"/>
                <w:szCs w:val="21"/>
              </w:rPr>
              <w:t>13.1.2)</w:t>
            </w:r>
            <w:r>
              <w:rPr>
                <w:rFonts w:hint="eastAsia"/>
                <w:szCs w:val="21"/>
              </w:rPr>
              <w:t>（若</w:t>
            </w:r>
            <w:r>
              <w:rPr>
                <w:szCs w:val="21"/>
              </w:rPr>
              <w:t>适用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230" w:type="dxa"/>
            <w:vAlign w:val="center"/>
          </w:tcPr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次级电路封装材料证明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应符合</w:t>
            </w:r>
            <w:r>
              <w:rPr>
                <w:rFonts w:hint="eastAsia"/>
                <w:szCs w:val="21"/>
              </w:rPr>
              <w:t xml:space="preserve"> GB/T 5169.16 </w:t>
            </w:r>
            <w:r>
              <w:rPr>
                <w:rFonts w:hint="eastAsia"/>
                <w:szCs w:val="21"/>
              </w:rPr>
              <w:t>阻燃等级的</w:t>
            </w:r>
            <w:r>
              <w:rPr>
                <w:rFonts w:hint="eastAsia"/>
                <w:szCs w:val="21"/>
              </w:rPr>
              <w:t xml:space="preserve"> FV1 </w:t>
            </w:r>
            <w:r>
              <w:rPr>
                <w:rFonts w:hint="eastAsia"/>
                <w:szCs w:val="21"/>
              </w:rPr>
              <w:t>或更好；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次级电路的电线绝缘应为</w:t>
            </w:r>
            <w:r>
              <w:rPr>
                <w:rFonts w:hint="eastAsia"/>
                <w:szCs w:val="21"/>
              </w:rPr>
              <w:t xml:space="preserve"> PVC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TFE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PTFE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FEP</w:t>
            </w:r>
            <w:r>
              <w:rPr>
                <w:rFonts w:hint="eastAsia"/>
                <w:szCs w:val="21"/>
              </w:rPr>
              <w:t>，聚氯丁烯或聚酰亚胺，并提供相关证书或其他证据。</w:t>
            </w:r>
          </w:p>
        </w:tc>
        <w:tc>
          <w:tcPr>
            <w:tcW w:w="1558" w:type="dxa"/>
            <w:vAlign w:val="center"/>
          </w:tcPr>
          <w:p w:rsidR="009F6CEC" w:rsidRDefault="001A64AD"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□是  □否</w:t>
            </w:r>
          </w:p>
          <w:p w:rsidR="009F6CEC" w:rsidRDefault="001A64AD">
            <w:pPr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</w:tc>
      </w:tr>
    </w:tbl>
    <w:p w:rsidR="009F6CEC" w:rsidRDefault="001A64AD">
      <w:pPr>
        <w:pStyle w:val="a8"/>
        <w:ind w:firstLineChars="0" w:firstLine="0"/>
        <w:rPr>
          <w:b/>
        </w:rPr>
      </w:pPr>
      <w:r>
        <w:rPr>
          <w:b/>
        </w:rPr>
        <w:t>注意事项：</w:t>
      </w:r>
    </w:p>
    <w:p w:rsidR="009F6CEC" w:rsidRDefault="001A64A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请按照上述清单认真核对送检资料，并根据实际准备情况在“是否齐备”栏进行勾选</w:t>
      </w:r>
      <w:r>
        <w:t>；</w:t>
      </w:r>
    </w:p>
    <w:p w:rsidR="009F6CEC" w:rsidRDefault="001A64A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所提供的纸质版资料均需加盖企业章及骑缝章。</w:t>
      </w:r>
    </w:p>
    <w:p w:rsidR="009F6CEC" w:rsidRDefault="001A64A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表中仅代表通用的资料要求，请根据样品的适用情况提供资料，检验过程可能会根据具体产品的实际情况要求提供补充资料。</w:t>
      </w:r>
    </w:p>
    <w:p w:rsidR="009F6CEC" w:rsidRDefault="001A64A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文件请按</w:t>
      </w:r>
      <w:r>
        <w:t>“</w:t>
      </w:r>
      <w:r>
        <w:t>序号</w:t>
      </w:r>
      <w:r>
        <w:rPr>
          <w:rFonts w:hint="eastAsia"/>
        </w:rPr>
        <w:t>”顺序编号，以便形式检查。</w:t>
      </w:r>
    </w:p>
    <w:p w:rsidR="009F6CEC" w:rsidRDefault="001A64AD">
      <w:pPr>
        <w:pStyle w:val="a8"/>
        <w:widowControl/>
        <w:numPr>
          <w:ilvl w:val="0"/>
          <w:numId w:val="2"/>
        </w:numPr>
        <w:spacing w:line="360" w:lineRule="auto"/>
        <w:ind w:firstLineChars="0"/>
        <w:jc w:val="left"/>
      </w:pPr>
      <w:proofErr w:type="gramStart"/>
      <w:r>
        <w:rPr>
          <w:rFonts w:hint="eastAsia"/>
        </w:rPr>
        <w:t>若</w:t>
      </w:r>
      <w:r>
        <w:t>关键</w:t>
      </w:r>
      <w:proofErr w:type="gramEnd"/>
      <w:r>
        <w:t>元器件可能涉及破坏性试验，原则上</w:t>
      </w:r>
      <w:proofErr w:type="gramStart"/>
      <w:r>
        <w:t>不做退样处理</w:t>
      </w:r>
      <w:proofErr w:type="gramEnd"/>
      <w:r>
        <w:t>。</w:t>
      </w:r>
    </w:p>
    <w:p w:rsidR="009F6CEC" w:rsidRDefault="009F6CEC">
      <w:pPr>
        <w:widowControl/>
        <w:jc w:val="left"/>
        <w:rPr>
          <w:b/>
        </w:rPr>
      </w:pPr>
    </w:p>
    <w:sectPr w:rsidR="009F6CEC">
      <w:headerReference w:type="default" r:id="rId8"/>
      <w:footerReference w:type="default" r:id="rId9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85" w:rsidRDefault="002D7285">
      <w:r>
        <w:separator/>
      </w:r>
    </w:p>
  </w:endnote>
  <w:endnote w:type="continuationSeparator" w:id="0">
    <w:p w:rsidR="002D7285" w:rsidRDefault="002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м栀.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EC" w:rsidRDefault="001A64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6CEC" w:rsidRDefault="001A64A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1266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F6CEC" w:rsidRDefault="001A64A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1266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85" w:rsidRDefault="002D7285">
      <w:r>
        <w:separator/>
      </w:r>
    </w:p>
  </w:footnote>
  <w:footnote w:type="continuationSeparator" w:id="0">
    <w:p w:rsidR="002D7285" w:rsidRDefault="002D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EC" w:rsidRPr="009E5BE7" w:rsidRDefault="009F6CEC" w:rsidP="00E12660">
    <w:pPr>
      <w:pStyle w:val="a5"/>
      <w:pBdr>
        <w:bottom w:val="none" w:sz="0" w:space="0" w:color="auto"/>
      </w:pBdr>
      <w:jc w:val="both"/>
      <w:rPr>
        <w:rFonts w:hint="eastAsia"/>
        <w:b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D86"/>
    <w:multiLevelType w:val="multilevel"/>
    <w:tmpl w:val="0CBB1D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3A2A46"/>
    <w:multiLevelType w:val="multilevel"/>
    <w:tmpl w:val="443A2A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NjdkNjc0NzY0ODUyNmYxNTZmZjgwYTJjMDQ2MjQifQ=="/>
  </w:docVars>
  <w:rsids>
    <w:rsidRoot w:val="005A3C25"/>
    <w:rsid w:val="00054FCC"/>
    <w:rsid w:val="0009509D"/>
    <w:rsid w:val="00112FCF"/>
    <w:rsid w:val="001243CD"/>
    <w:rsid w:val="00140CCC"/>
    <w:rsid w:val="001A64AD"/>
    <w:rsid w:val="002838AC"/>
    <w:rsid w:val="00287DCA"/>
    <w:rsid w:val="002D7285"/>
    <w:rsid w:val="00303360"/>
    <w:rsid w:val="003B51BA"/>
    <w:rsid w:val="003D1BA6"/>
    <w:rsid w:val="00414B76"/>
    <w:rsid w:val="00470D5D"/>
    <w:rsid w:val="004855B6"/>
    <w:rsid w:val="0055271C"/>
    <w:rsid w:val="005A3C25"/>
    <w:rsid w:val="0063737D"/>
    <w:rsid w:val="007C4C00"/>
    <w:rsid w:val="00856D68"/>
    <w:rsid w:val="009A0086"/>
    <w:rsid w:val="009A221E"/>
    <w:rsid w:val="009E5BE7"/>
    <w:rsid w:val="009F006D"/>
    <w:rsid w:val="009F6CEC"/>
    <w:rsid w:val="00AB4DA4"/>
    <w:rsid w:val="00AD694D"/>
    <w:rsid w:val="00B165C9"/>
    <w:rsid w:val="00B4733E"/>
    <w:rsid w:val="00B8254A"/>
    <w:rsid w:val="00BE0603"/>
    <w:rsid w:val="00D57604"/>
    <w:rsid w:val="00E12660"/>
    <w:rsid w:val="00E53C33"/>
    <w:rsid w:val="00E77A15"/>
    <w:rsid w:val="00F35244"/>
    <w:rsid w:val="00F85561"/>
    <w:rsid w:val="00FC1231"/>
    <w:rsid w:val="00FF4454"/>
    <w:rsid w:val="183D6D9C"/>
    <w:rsid w:val="30D069A0"/>
    <w:rsid w:val="3A38176B"/>
    <w:rsid w:val="41A37141"/>
    <w:rsid w:val="5B9C2A10"/>
    <w:rsid w:val="7414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FD5F"/>
  <w15:docId w15:val="{DA4A5DD4-B2F4-4703-80C9-9CCAEC4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仿宋м栀." w:eastAsia="方正仿宋м栀." w:cs="方正仿宋м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296</Words>
  <Characters>1693</Characters>
  <Application>Microsoft Office Word</Application>
  <DocSecurity>0</DocSecurity>
  <Lines>14</Lines>
  <Paragraphs>3</Paragraphs>
  <ScaleCrop>false</ScaleCrop>
  <Company>Organization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16</cp:revision>
  <dcterms:created xsi:type="dcterms:W3CDTF">2022-11-21T00:40:00Z</dcterms:created>
  <dcterms:modified xsi:type="dcterms:W3CDTF">2022-11-24T09:20:00Z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62091A4168B947E58A410DFF9AFDDF0B</vt:lpwstr>
  </property>
</Properties>
</file>